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313</w:t>
      </w:r>
    </w:p>
    <w:p>
      <w:r>
        <w:t>Bundesgericht (BGE), 2017-09-07, DE</w:t>
      </w:r>
    </w:p>
    <w:p>
      <w:r>
        <w:rPr>
          <w:b/>
        </w:rPr>
        <w:t xml:space="preserve">Quelle: </w:t>
      </w:r>
      <w:r>
        <w:t>https://mcp.opencaselaw.ch/entscheid/bge_143 IV 313</w:t>
      </w:r>
    </w:p>
    <w:p>
      <w:r>
        <w:t>FR: ATF 143 IV 313</w:t>
      </w:r>
    </w:p>
    <w:p>
      <w:r>
        <w:t>IT: DTF 143 IV 313</w:t>
      </w:r>
    </w:p>
    <w:p>
      <w:pPr>
        <w:pStyle w:val="Heading2"/>
      </w:pPr>
      <w:r>
        <w:t>Regeste</w:t>
      </w:r>
    </w:p>
    <w:p>
      <w:r>
        <w:t>Regeste Art. 55 SVG, Art. 198 Abs. 1 lit. a StPO; Zuständigkeit für die Anordnung einer Blutentnahme. Bei der Blutentnahme zur Feststellung der Fahrunfähigkeit handelt es sich um eine Zwangsmassnahme, welche selbst dann von der Staatsanwaltschaft angeordnet werden muss, wenn der Betroffene in diese einwilligt (E. 5.2).</w:t>
      </w:r>
    </w:p>
    <w:p>
      <w:pPr>
        <w:pStyle w:val="Heading2"/>
      </w:pPr>
      <w:r>
        <w:t>Erwägungen</w:t>
      </w:r>
    </w:p>
    <w:p>
      <w:r>
        <w:rPr>
          <w:b/>
        </w:rPr>
        <w:t>E. 5</w:t>
      </w:r>
    </w:p>
    <w:p>
      <w:r>
        <w:t>(...)</w:t>
      </w:r>
    </w:p>
    <w:p>
      <w:r>
        <w:rPr>
          <w:b/>
        </w:rPr>
        <w:t>E. 5.2</w:t>
      </w:r>
    </w:p>
    <w:p>
      <w:r>
        <w:t>Nach Art. 55 Abs. 3 lit. a SVG (in der bis zum 30. September 2016 geltenden Fassung) ist eine Blutprobe anzuordnen, wenn Anzeichen von Fahrunfähigkeit vorliegen. Soweit Massnahmen zur Feststellung der Fahrunfähigkeit aufgrund des Verdachts einer Widerhandlung gegen das Strassenverkehrsgesetz oder anderer Gesetze BGE 143 IV 313 S. 315 durchzuführen sind, handelt es sich um Beweisabnahmen im Sinne der StPO. Diese regelt auch die Zuständigkeit für die Durchführung und Anordnung solcher Massnahmen, weshalb das Strassenverkehrsgesetz keine entsprechenden Bestimmungen mehr enthält. Für die Anordnung der Blutentnahme ist nach Art. 198 Abs. 1 lit. a StPO die Staatsanwaltschaft zuständig. Eine solche Anordnung kann gemäss Art. 241 Abs. 1 StPO auch zunächst mündlich, mithin telefonisch durch den Pikettstaatsanwalt erfolgen (Urteile 6B_532/2016 vom 15. Dezember 2016 E. 1.4.1; 6B_996/2016 vom 11. April 2017 E. 3.3; mit Hinweisen). Bei der Blutentnahme handelt es sich um eine Zwangsmassnahme, welche selbst dann von der Staatsanwaltschaft angeordnet werden muss, wenn der Betroffene in diese einwilligt. Für eine kantonale Bestimmung, welche die Zuständigkeit für die Anordnung einer Blutprobe unter bestimmten Bedingungen der Polizei überträgt, besteht kein Raum (Urteil 6B_1000/2016 vom 4. April 2017 E. 2.3.1 und 2.3.2 mit Hinweisen). Hinzuweisen ist in diesem Zusammenhang darauf, dass in Fällen, in welchen Anzeichen auf Fahrunfähigkeit bestehen, die ausschliesslich auf Alkoholeinfluss zurückzuführen sind, eine Blutprobe nur noch in Ausnahmefällen anzuordnen ist (vgl. Art. 55 Abs. 3 und 3 bis SVG sowie Art. 12 der Verordnung vom 28. März 2007 über die Kontrolle des Strassenverkehrs[Strassenverkehrskontrollverordnung, SKV; SR 741.013] in den seit1. Oktober 2016 geltenden Fassungen). Weiterhin erforderlich bleibt die Anordnung einer Blutprobe zum Nachweis anderer Substanzen als Alkohol ( Art. 55 Abs. 3 lit. a SVG und Art. 12a SKV in den seit 1. Oktober 2016 geltenden Fassungen). Von den Fällen, in welchen Anzeichen für eine Fahrunfähigkeit bestehen, dürfte es sich hierbei um eine Minderheit handeln. Die Blutprobe wurde ohne Zutun der Staatsanwaltschaft von der Polizei angeordnet. Es handelt sich somit um eine rechtswidrige Zwangsmassnahme im Sinne von Art. 431 Abs. 1 StPO . Die Beschwerde ist in diesem Punkt begründet und die Sache ist an die Vorinstanz zurückzuweisen, damit diese über die daraus entstehenden Ansprüche des Beschwerdeführers 1 befindet.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